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862ADB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5D323C" w:rsidP="005B1AE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Գյումրի </w:t>
            </w:r>
            <w:r w:rsidR="0016400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համայնքի հ</w:t>
            </w:r>
            <w:r w:rsidR="00624F46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ամար </w:t>
            </w:r>
            <w:r w:rsidR="005B1AE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2.8</w:t>
            </w:r>
            <w:r w:rsidR="00624F46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ՄՎտ /ժ հզորությամբ արևային ֆոտովոլտային կայանի կառուցում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6685" w:rsidRDefault="00FC423B" w:rsidP="0028668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Գյումրու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համայնքապետարանը, ենթակա հիմնարկներն ու կազմակերպությունները յուրաքանչյուր տարի ծախսում են շուրջ 130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միլիոն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դրամի էլեկտրական էներգիա, որից 101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միլիոն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դրամը կազմում է</w:t>
            </w:r>
            <w:r w:rsidRPr="00FC423B">
              <w:rPr>
                <w:rFonts w:ascii="Calibri" w:eastAsia="Times New Roman" w:hAnsi="Calibri" w:cs="Calibri"/>
                <w:i/>
                <w:sz w:val="21"/>
                <w:szCs w:val="21"/>
                <w:lang w:val="hy-AM"/>
              </w:rPr>
              <w:t>  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արտաքին լուսավորության ցանցի էլեկտրական էներգիայի ծախսը: Նախատեսվում է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քաղաքում կառուցել մինչև </w:t>
            </w:r>
            <w:r w:rsidR="005B1AE7">
              <w:rPr>
                <w:rFonts w:ascii="GHEA Grapalat" w:eastAsia="Times New Roman" w:hAnsi="GHEA Grapalat"/>
                <w:i/>
                <w:sz w:val="21"/>
                <w:szCs w:val="21"/>
              </w:rPr>
              <w:t>2.8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վտ/ժ հզորությամբ արևային ֆոտովոլտային կայան: Արևային էլեկտրակայանների կառուցումը նախատեսվում է ինչպես համայնքային ենթակայության հիմնարկների և կազմակերպությունների 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տանիքներին, այնպես էլ քաղաքի ազատ 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հարակից 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հողա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տարածքում` ելնելով տանիքների օգտակար մակերեսից, կրող կոնստրուկցիաների վիճակից, այդ կազմակերպությանը էլեկտրական էներգիա սնուցող ենթակայանի հզորությունից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ինչպես նաև հաշվի առնելով արևային էներգիայի քաղաքի քարտեզային դիրքերից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3128F4" w:rsidRPr="00FC423B" w:rsidRDefault="003E6C37" w:rsidP="003E6C37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Գյումրի քաղաքում </w:t>
            </w:r>
            <w:r w:rsidR="00FC423B"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արևային օրերի քանակը տարեկան շուրջ 300 օր է, ինչը նպաստավոր պայմաններ է ստեղծում վերականգնվող` արևային էներգիայի զարգացման համար: Բացի այդ,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</w:t>
            </w:r>
            <w:r w:rsidR="00FC423B"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համայնքն ընտրել է վերականգնվող էներգիայի զարգացմանն աջակցելու քաղաքականություն, որի արդյունավետ իրականացումը համայնքի համար կապահովի ինչպես դրամական միջոցների խնայողություն` փաստացի ծախսի մոտ 80 % չափով, այնպես էլ հավելյալ եկամուտ` դրանք ուղղելով համայնքային այլ խնդիրների լուծմանը: Կայանի կառուցումը հնարավորություն կտա նաև ավելացնել գիշերային լուսավորության ժամերի թիվը: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535" w:rsidRDefault="00623205" w:rsidP="00623205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ակնկալվում է․</w:t>
            </w:r>
          </w:p>
          <w:p w:rsidR="003F0270" w:rsidRPr="003F0270" w:rsidRDefault="00624F46" w:rsidP="003F027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Վերականգնվող է</w:t>
            </w:r>
            <w:r w:rsidR="003F0270"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ներգիայի միջոցով աշխատող քաղաքային փողոցների լուսավորության ծառայությունից գեներացված ֆինանսական խնայողություններ</w:t>
            </w:r>
          </w:p>
          <w:p w:rsidR="003F0270" w:rsidRPr="003F0270" w:rsidRDefault="003F0270" w:rsidP="003F027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Էներգախնայողության բարձրացմանն ուղղված գործողություներ, ինչպես հանրային տարածքներում, այնպես էլ փողոցներում</w:t>
            </w:r>
          </w:p>
          <w:p w:rsidR="003F0270" w:rsidRPr="003F0270" w:rsidRDefault="003F0270" w:rsidP="003F027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Էլեկտրաէներգիայի վճարումների կրճատում</w:t>
            </w:r>
          </w:p>
          <w:p w:rsidR="003F0270" w:rsidRDefault="003F0270" w:rsidP="003F027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Ժամանակակից տեխնոլոգիաների կիրառում</w:t>
            </w:r>
          </w:p>
          <w:p w:rsidR="00FE7117" w:rsidRDefault="003F0270" w:rsidP="00FE71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Կանաչ աճի հնարավորությունների</w:t>
            </w:r>
            <w:r w:rsidR="00624F4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ստեղծում</w:t>
            </w:r>
          </w:p>
          <w:p w:rsidR="00624F46" w:rsidRDefault="00FE7117" w:rsidP="00FE71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</w:t>
            </w:r>
            <w:r w:rsidR="00624F46"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ունենանք մինչև </w:t>
            </w:r>
            <w:r w:rsidR="00A073C5">
              <w:rPr>
                <w:rFonts w:ascii="GHEA Grapalat" w:eastAsia="Times New Roman" w:hAnsi="GHEA Grapalat"/>
                <w:i/>
                <w:sz w:val="21"/>
                <w:szCs w:val="21"/>
              </w:rPr>
              <w:t>2.8</w:t>
            </w:r>
            <w:r w:rsidR="00624F46"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ՄՎտ/ժ հզորության արևային ֆոտովոլտային կայան</w:t>
            </w:r>
          </w:p>
          <w:p w:rsidR="003F0270" w:rsidRPr="00D32124" w:rsidRDefault="00FE7117" w:rsidP="00F33284">
            <w:pPr>
              <w:spacing w:after="0" w:line="240" w:lineRule="auto"/>
              <w:ind w:left="360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Կավելանա գիշերային լուսավորության ժամերի թիվը օրվա կտրվածքով՝ ամռանը 4 ժամի փոխարեն 6 ժամ, իսկ ձմռանը 6 ժամի փոխարեն 8 ժամով։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Էլեկտրաէներգիայի փաստացի ծախսի մոտ </w:t>
            </w:r>
            <w:r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80 %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կրճատելու արդյունքում դրամական միջոցների խնայողությունը կուղղվի համայնքային այլ հիմնախանդիրների լուծմանը։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855230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FE7117" w:rsidRPr="00487535" w:rsidRDefault="00FE7117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Աշխատանքների իրականացում, արդյունքների ընդունում և վերահսկողություն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FE7117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համայնքին սեփականության իրավունքով պատկանող </w:t>
            </w:r>
            <w:r w:rsidR="00FE711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շենքերի և հողատարածքների կադաստրային արժեքները կավելանան, քանի որ դրանով նախատեսվող ծախսերը կապիտալ բնույթի են։</w:t>
            </w:r>
          </w:p>
        </w:tc>
      </w:tr>
      <w:tr w:rsidR="006748DC" w:rsidRPr="00862ADB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8DC" w:rsidRPr="0046489C" w:rsidRDefault="004E3327" w:rsidP="006748D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E332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Գյումրի համայնքի ազգաբնակչությունը և համայնք այցելող բազմահազար հյուրերն ու զբոսաշրջիկները։ Կայանի կառուցումը կապահովի համայնքային ենթակայության կառույցների  և արտաքին լուսավորության ցանցի սպառող էլեկտրաէներգիայի  ութսուն տոկոսը։</w:t>
            </w:r>
          </w:p>
        </w:tc>
      </w:tr>
      <w:tr w:rsidR="006748DC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862ADB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862AD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862ADB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</w:t>
                  </w: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>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գոյություն ունեցող շենք-շինությունների տեխնիկական վիճակի վերաբերյալ փորձաքննության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1A7DCD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lastRenderedPageBreak/>
              <w:t>1,450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ինը հարյուր իննսուն միլիոն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- 100%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567F2A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2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հինգ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երկու հարյուր հազար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Default="000103B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21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2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00,000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քսանմեկ միլիոն երկու հարյուր հազար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Pr="006748DC" w:rsidRDefault="005070CF" w:rsidP="002D75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8,</w:t>
            </w:r>
            <w:r w:rsidR="002D7568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00,000 </w:t>
            </w:r>
            <w:r w:rsidR="002D7568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ութ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հինգ հարյուր հազար </w:t>
            </w:r>
            <w:r w:rsidR="002D7568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2D7568" w:rsidRPr="006748DC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711797" w:rsidP="00DF62EE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652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,500,000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Pr="0071179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վեց հարյուր հիսուներկու միլիոն հինգ հարյուր հազար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)   (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D63EE6" w:rsidRPr="00D63EE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1,450,000,000 ՀՀ դրամ (ինը հարյուր իննսուն միլիոն դրամ)  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25348B" w:rsidP="0025348B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D63EE6" w:rsidRPr="00C53D11" w:rsidRDefault="00D63EE6" w:rsidP="00D63EE6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D63EE6" w:rsidRDefault="00D63EE6" w:rsidP="00D63EE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007D46">
          <w:rPr>
            <w:rStyle w:val="Hyperlink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D63EE6" w:rsidRDefault="00D63EE6" w:rsidP="00D63EE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D63EE6" w:rsidRPr="00237B68" w:rsidRDefault="00D63EE6" w:rsidP="00D63EE6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103BC"/>
    <w:rsid w:val="00033248"/>
    <w:rsid w:val="000E3C69"/>
    <w:rsid w:val="00111C6A"/>
    <w:rsid w:val="00141CE3"/>
    <w:rsid w:val="0016400E"/>
    <w:rsid w:val="00182A3E"/>
    <w:rsid w:val="001A7DCD"/>
    <w:rsid w:val="001B5FB8"/>
    <w:rsid w:val="001B7009"/>
    <w:rsid w:val="001F7FAC"/>
    <w:rsid w:val="0025348B"/>
    <w:rsid w:val="00274066"/>
    <w:rsid w:val="00286685"/>
    <w:rsid w:val="002D1FA9"/>
    <w:rsid w:val="002D7568"/>
    <w:rsid w:val="003128F4"/>
    <w:rsid w:val="00376D19"/>
    <w:rsid w:val="003D2446"/>
    <w:rsid w:val="003E6C37"/>
    <w:rsid w:val="003F0270"/>
    <w:rsid w:val="00422D2E"/>
    <w:rsid w:val="0042472C"/>
    <w:rsid w:val="00487535"/>
    <w:rsid w:val="004E3327"/>
    <w:rsid w:val="004F5397"/>
    <w:rsid w:val="005070CF"/>
    <w:rsid w:val="00544592"/>
    <w:rsid w:val="00567F2A"/>
    <w:rsid w:val="00596DEC"/>
    <w:rsid w:val="005B1AE7"/>
    <w:rsid w:val="005D323C"/>
    <w:rsid w:val="00623205"/>
    <w:rsid w:val="00624F46"/>
    <w:rsid w:val="006320DE"/>
    <w:rsid w:val="00673683"/>
    <w:rsid w:val="006748DC"/>
    <w:rsid w:val="006C40DB"/>
    <w:rsid w:val="006D718F"/>
    <w:rsid w:val="00711797"/>
    <w:rsid w:val="00757E7F"/>
    <w:rsid w:val="00760EAE"/>
    <w:rsid w:val="00767BF4"/>
    <w:rsid w:val="00773118"/>
    <w:rsid w:val="00774F46"/>
    <w:rsid w:val="007C4A46"/>
    <w:rsid w:val="007E134A"/>
    <w:rsid w:val="008168CF"/>
    <w:rsid w:val="00855230"/>
    <w:rsid w:val="00862ADB"/>
    <w:rsid w:val="008D112F"/>
    <w:rsid w:val="0090405C"/>
    <w:rsid w:val="0092108D"/>
    <w:rsid w:val="00945157"/>
    <w:rsid w:val="00946EA2"/>
    <w:rsid w:val="0097233F"/>
    <w:rsid w:val="00985675"/>
    <w:rsid w:val="00A01EB4"/>
    <w:rsid w:val="00A073C5"/>
    <w:rsid w:val="00A1600A"/>
    <w:rsid w:val="00A341DD"/>
    <w:rsid w:val="00A37DF3"/>
    <w:rsid w:val="00A92C99"/>
    <w:rsid w:val="00C53D11"/>
    <w:rsid w:val="00C96385"/>
    <w:rsid w:val="00CE4B84"/>
    <w:rsid w:val="00D32124"/>
    <w:rsid w:val="00D63EE6"/>
    <w:rsid w:val="00DA55FE"/>
    <w:rsid w:val="00DA625B"/>
    <w:rsid w:val="00DC35D4"/>
    <w:rsid w:val="00DD43E3"/>
    <w:rsid w:val="00DF13CD"/>
    <w:rsid w:val="00DF62EE"/>
    <w:rsid w:val="00E9623C"/>
    <w:rsid w:val="00EA5EA7"/>
    <w:rsid w:val="00ED437E"/>
    <w:rsid w:val="00EE3A64"/>
    <w:rsid w:val="00F33284"/>
    <w:rsid w:val="00F4401A"/>
    <w:rsid w:val="00F711A8"/>
    <w:rsid w:val="00F9638C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  <w:style w:type="paragraph" w:styleId="ListParagraph">
    <w:name w:val="List Paragraph"/>
    <w:basedOn w:val="Normal"/>
    <w:uiPriority w:val="34"/>
    <w:qFormat/>
    <w:rsid w:val="003F02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E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2014</Words>
  <Characters>11485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47</cp:revision>
  <cp:lastPrinted>2022-07-11T13:39:00Z</cp:lastPrinted>
  <dcterms:created xsi:type="dcterms:W3CDTF">2022-01-17T07:51:00Z</dcterms:created>
  <dcterms:modified xsi:type="dcterms:W3CDTF">2022-11-24T13:57:00Z</dcterms:modified>
</cp:coreProperties>
</file>